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99"/>
        <w:gridCol w:w="12672"/>
      </w:tblGrid>
      <w:tr>
        <w:tc>
          <w:tcPr>
            <w:tcW w:type="dxa" w:w="1699"/>
            <w:tcBorders>
              <w:bottom w:val="single" w:sz="18" w:color="C69A3B"/>
            </w:tcBorders>
            <w:tcMar>
              <w:top w:w="30" w:type="dxa"/>
              <w:start w:w="40" w:type="dxa"/>
              <w:bottom w:w="55" w:type="dxa"/>
              <w:end w:w="7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13232" cy="78315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lc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2" cy="7831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672"/>
            <w:tcBorders>
              <w:bottom w:val="single" w:sz="18" w:color="C69A3B"/>
            </w:tcBorders>
            <w:tcMar>
              <w:top w:w="30" w:type="dxa"/>
              <w:start w:w="40" w:type="dxa"/>
              <w:bottom w:w="55" w:type="dxa"/>
              <w:end w:w="70" w:type="dxa"/>
            </w:tcMar>
            <w:vAlign w:val="center"/>
          </w:tcPr>
          <w:p>
            <w:pPr>
              <w:spacing w:after="20"/>
            </w:pPr>
            <w:r>
              <w:rPr>
                <w:rFonts w:ascii="Aptos Display" w:hAnsi="Aptos Display"/>
                <w:b/>
                <w:color w:val="17324D"/>
                <w:sz w:val="42"/>
              </w:rPr>
              <w:t>FINANCIAL LITERACY CLUB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1F6D73"/>
                <w:sz w:val="22"/>
              </w:rPr>
              <w:t>Curriculum Alignment with Massachusetts Personal Financial Literacy Standards</w:t>
            </w:r>
          </w:p>
          <w:p>
            <w:pPr>
              <w:spacing w:after="0"/>
            </w:pPr>
            <w:r>
              <w:rPr>
                <w:rFonts w:ascii="Aptos" w:hAnsi="Aptos"/>
                <w:color w:val="6E7781"/>
                <w:sz w:val="17"/>
              </w:rPr>
              <w:t>2026–2027  |  Keefe Regional Technical School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0"/>
      </w:tblGrid>
      <w:tr>
        <w:tc>
          <w:tcPr>
            <w:tcW w:type="dxa" w:w="14458"/>
            <w:shd w:fill="EEF4F7"/>
            <w:tcBorders>
              <w:top w:val="single" w:sz="7" w:color="C9D2D9"/>
              <w:left w:val="single" w:sz="7" w:color="C9D2D9"/>
              <w:bottom w:val="single" w:sz="7" w:color="C9D2D9"/>
              <w:right w:val="single" w:sz="7" w:color="C9D2D9"/>
            </w:tcBorders>
            <w:tcMar>
              <w:top w:w="100" w:type="dxa"/>
              <w:start w:w="150" w:type="dxa"/>
              <w:bottom w:w="95" w:type="dxa"/>
              <w:end w:w="150" w:type="dxa"/>
            </w:tcMar>
          </w:tcPr>
          <w:p>
            <w:pPr>
              <w:spacing w:after="0"/>
            </w:pPr>
            <w:r>
              <w:rPr>
                <w:b/>
                <w:color w:val="17324D"/>
                <w:sz w:val="19"/>
              </w:rPr>
              <w:t xml:space="preserve">Purpose. </w:t>
            </w:r>
            <w:r>
              <w:rPr>
                <w:color w:val="1F2933"/>
                <w:sz w:val="19"/>
              </w:rPr>
              <w:t>The Financial Literacy Club uses the four areas of the Massachusetts Personal Financial Literacy Standards as an organizing framework for student-led learning, guest speaker sessions, and practical financial decision-making activities.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9"/>
        <w:gridCol w:w="7099"/>
      </w:tblGrid>
      <w:tr>
        <w:tc>
          <w:tcPr>
            <w:tcW w:type="dxa" w:w="7229"/>
            <w:vAlign w:val="top"/>
            <w:shd w:fill="EEF4F7"/>
            <w:tcBorders>
              <w:top w:val="single" w:sz="7" w:color="C9D2D9"/>
              <w:left w:val="single" w:sz="7" w:color="C9D2D9"/>
              <w:bottom w:val="single" w:sz="7" w:color="C9D2D9"/>
              <w:right w:val="single" w:sz="7" w:color="C9D2D9"/>
            </w:tcBorders>
            <w:tcMar>
              <w:top w:w="95" w:type="dxa"/>
              <w:start w:w="120" w:type="dxa"/>
              <w:bottom w:w="85" w:type="dxa"/>
              <w:end w:w="120" w:type="dxa"/>
            </w:tcMar>
          </w:tcPr>
          <w:p>
            <w:pPr>
              <w:spacing w:after="40"/>
              <w:pBdr>
                <w:bottom w:val="single" w:sz="8" w:space="4" w:color="C69A3B"/>
              </w:pBdr>
            </w:pPr>
            <w:r>
              <w:rPr>
                <w:rFonts w:ascii="Aptos" w:hAnsi="Aptos"/>
                <w:b/>
                <w:color w:val="C69A3B"/>
                <w:sz w:val="18"/>
              </w:rPr>
              <w:t xml:space="preserve">01  </w:t>
            </w:r>
            <w:r>
              <w:rPr>
                <w:rFonts w:ascii="Aptos" w:hAnsi="Aptos"/>
                <w:b/>
                <w:color w:val="17324D"/>
                <w:sz w:val="21"/>
              </w:rPr>
              <w:t>EARNING &amp; SPENDING INCOME</w:t>
            </w:r>
          </w:p>
          <w:p>
            <w:pPr>
              <w:spacing w:before="20" w:after="40"/>
            </w:pPr>
            <w:r>
              <w:rPr>
                <w:rFonts w:ascii="Aptos" w:hAnsi="Aptos"/>
                <w:b/>
                <w:color w:val="1F6D73"/>
                <w:sz w:val="15"/>
              </w:rPr>
              <w:t>FLC COVERAGE</w:t>
            </w:r>
          </w:p>
          <w:p>
            <w:pPr>
              <w:spacing w:after="4" w:line="240" w:lineRule="auto"/>
              <w:ind w:left="187" w:hanging="144"/>
            </w:pPr>
            <w:r>
              <w:rPr>
                <w:rFonts w:ascii="Aptos" w:hAnsi="Aptos"/>
                <w:color w:val="1F6D73"/>
                <w:sz w:val="17"/>
              </w:rPr>
              <w:t xml:space="preserve">• </w:t>
            </w:r>
            <w:r>
              <w:rPr>
                <w:rFonts w:ascii="Aptos" w:hAnsi="Aptos"/>
                <w:color w:val="1F2933"/>
                <w:sz w:val="17"/>
              </w:rPr>
              <w:t>Careers, income, and compensation</w:t>
            </w:r>
          </w:p>
          <w:p>
            <w:pPr>
              <w:spacing w:after="4" w:line="240" w:lineRule="auto"/>
              <w:ind w:left="187" w:hanging="144"/>
            </w:pPr>
            <w:r>
              <w:rPr>
                <w:rFonts w:ascii="Aptos" w:hAnsi="Aptos"/>
                <w:color w:val="1F6D73"/>
                <w:sz w:val="17"/>
              </w:rPr>
              <w:t xml:space="preserve">• </w:t>
            </w:r>
            <w:r>
              <w:rPr>
                <w:rFonts w:ascii="Aptos" w:hAnsi="Aptos"/>
                <w:color w:val="1F2933"/>
                <w:sz w:val="17"/>
              </w:rPr>
              <w:t>Budgeting, spending choices, and financial planning</w:t>
            </w:r>
          </w:p>
          <w:p>
            <w:pPr>
              <w:spacing w:after="4" w:line="240" w:lineRule="auto"/>
              <w:ind w:left="187" w:hanging="144"/>
            </w:pPr>
            <w:r>
              <w:rPr>
                <w:rFonts w:ascii="Aptos" w:hAnsi="Aptos"/>
                <w:color w:val="1F6D73"/>
                <w:sz w:val="17"/>
              </w:rPr>
              <w:t xml:space="preserve">• </w:t>
            </w:r>
            <w:r>
              <w:rPr>
                <w:rFonts w:ascii="Aptos" w:hAnsi="Aptos"/>
                <w:color w:val="1F2933"/>
                <w:sz w:val="17"/>
              </w:rPr>
              <w:t>Paychecks, gross vs. net income, and taxes</w:t>
            </w:r>
          </w:p>
          <w:p>
            <w:pPr>
              <w:spacing w:before="20" w:after="40"/>
            </w:pPr>
            <w:r>
              <w:rPr>
                <w:rFonts w:ascii="Aptos" w:hAnsi="Aptos"/>
                <w:b/>
                <w:color w:val="17324D"/>
                <w:sz w:val="15"/>
              </w:rPr>
              <w:t>APPLIED LEARNING</w:t>
            </w:r>
          </w:p>
          <w:p>
            <w:pPr>
              <w:spacing w:after="0" w:line="240" w:lineRule="auto"/>
            </w:pPr>
            <w:r>
              <w:rPr>
                <w:rFonts w:ascii="Aptos" w:hAnsi="Aptos"/>
                <w:i/>
                <w:color w:val="6E7781"/>
                <w:sz w:val="16"/>
              </w:rPr>
              <w:t>Budgeting exercises • paycheck examples • career and income discussions</w:t>
            </w:r>
          </w:p>
        </w:tc>
        <w:tc>
          <w:tcPr>
            <w:tcW w:type="dxa" w:w="7229"/>
            <w:vAlign w:val="top"/>
            <w:shd w:fill="EEF7F5"/>
            <w:tcBorders>
              <w:top w:val="single" w:sz="7" w:color="C9D2D9"/>
              <w:left w:val="single" w:sz="7" w:color="C9D2D9"/>
              <w:bottom w:val="single" w:sz="7" w:color="C9D2D9"/>
              <w:right w:val="single" w:sz="7" w:color="C9D2D9"/>
            </w:tcBorders>
            <w:tcMar>
              <w:top w:w="95" w:type="dxa"/>
              <w:start w:w="120" w:type="dxa"/>
              <w:bottom w:w="85" w:type="dxa"/>
              <w:end w:w="120" w:type="dxa"/>
            </w:tcMar>
          </w:tcPr>
          <w:p>
            <w:pPr>
              <w:spacing w:after="40"/>
              <w:pBdr>
                <w:bottom w:val="single" w:sz="8" w:space="4" w:color="C69A3B"/>
              </w:pBdr>
            </w:pPr>
            <w:r>
              <w:rPr>
                <w:rFonts w:ascii="Aptos" w:hAnsi="Aptos"/>
                <w:b/>
                <w:color w:val="C69A3B"/>
                <w:sz w:val="18"/>
              </w:rPr>
              <w:t xml:space="preserve">02  </w:t>
            </w:r>
            <w:r>
              <w:rPr>
                <w:rFonts w:ascii="Aptos" w:hAnsi="Aptos"/>
                <w:b/>
                <w:color w:val="17324D"/>
                <w:sz w:val="21"/>
              </w:rPr>
              <w:t>SAVING MONEY</w:t>
            </w:r>
          </w:p>
          <w:p>
            <w:pPr>
              <w:spacing w:before="20" w:after="40"/>
            </w:pPr>
            <w:r>
              <w:rPr>
                <w:rFonts w:ascii="Aptos" w:hAnsi="Aptos"/>
                <w:b/>
                <w:color w:val="1F6D73"/>
                <w:sz w:val="15"/>
              </w:rPr>
              <w:t>FLC COVERAGE</w:t>
            </w:r>
          </w:p>
          <w:p>
            <w:pPr>
              <w:spacing w:after="4" w:line="240" w:lineRule="auto"/>
              <w:ind w:left="187" w:hanging="144"/>
            </w:pPr>
            <w:r>
              <w:rPr>
                <w:rFonts w:ascii="Aptos" w:hAnsi="Aptos"/>
                <w:color w:val="1F6D73"/>
                <w:sz w:val="17"/>
              </w:rPr>
              <w:t xml:space="preserve">• </w:t>
            </w:r>
            <w:r>
              <w:rPr>
                <w:rFonts w:ascii="Aptos" w:hAnsi="Aptos"/>
                <w:color w:val="1F2933"/>
                <w:sz w:val="17"/>
              </w:rPr>
              <w:t>Banking and savings accounts</w:t>
            </w:r>
          </w:p>
          <w:p>
            <w:pPr>
              <w:spacing w:after="4" w:line="240" w:lineRule="auto"/>
              <w:ind w:left="187" w:hanging="144"/>
            </w:pPr>
            <w:r>
              <w:rPr>
                <w:rFonts w:ascii="Aptos" w:hAnsi="Aptos"/>
                <w:color w:val="1F6D73"/>
                <w:sz w:val="17"/>
              </w:rPr>
              <w:t xml:space="preserve">• </w:t>
            </w:r>
            <w:r>
              <w:rPr>
                <w:rFonts w:ascii="Aptos" w:hAnsi="Aptos"/>
                <w:color w:val="1F2933"/>
                <w:sz w:val="17"/>
              </w:rPr>
              <w:t>Emergency funds and financial goals</w:t>
            </w:r>
          </w:p>
          <w:p>
            <w:pPr>
              <w:spacing w:after="4" w:line="240" w:lineRule="auto"/>
              <w:ind w:left="187" w:hanging="144"/>
            </w:pPr>
            <w:r>
              <w:rPr>
                <w:rFonts w:ascii="Aptos" w:hAnsi="Aptos"/>
                <w:color w:val="1F6D73"/>
                <w:sz w:val="17"/>
              </w:rPr>
              <w:t xml:space="preserve">• </w:t>
            </w:r>
            <w:r>
              <w:rPr>
                <w:rFonts w:ascii="Aptos" w:hAnsi="Aptos"/>
                <w:color w:val="1F2933"/>
                <w:sz w:val="17"/>
              </w:rPr>
              <w:t>Short- and long-term saving strategies</w:t>
            </w:r>
          </w:p>
          <w:p>
            <w:pPr>
              <w:spacing w:before="20" w:after="40"/>
            </w:pPr>
            <w:r>
              <w:rPr>
                <w:rFonts w:ascii="Aptos" w:hAnsi="Aptos"/>
                <w:b/>
                <w:color w:val="17324D"/>
                <w:sz w:val="15"/>
              </w:rPr>
              <w:t>APPLIED LEARNING</w:t>
            </w:r>
          </w:p>
          <w:p>
            <w:pPr>
              <w:spacing w:after="0" w:line="240" w:lineRule="auto"/>
            </w:pPr>
            <w:r>
              <w:rPr>
                <w:rFonts w:ascii="Aptos" w:hAnsi="Aptos"/>
                <w:i/>
                <w:color w:val="6E7781"/>
                <w:sz w:val="16"/>
              </w:rPr>
              <w:t>Savings scenarios • goal-setting activities • comparison of banking options</w:t>
            </w:r>
          </w:p>
        </w:tc>
      </w:tr>
      <w:tr>
        <w:tc>
          <w:tcPr>
            <w:tcW w:type="dxa" w:w="7229"/>
            <w:vAlign w:val="top"/>
            <w:shd w:fill="FBF7EC"/>
            <w:tcBorders>
              <w:top w:val="single" w:sz="7" w:color="C9D2D9"/>
              <w:left w:val="single" w:sz="7" w:color="C9D2D9"/>
              <w:bottom w:val="single" w:sz="7" w:color="C9D2D9"/>
              <w:right w:val="single" w:sz="7" w:color="C9D2D9"/>
            </w:tcBorders>
            <w:tcMar>
              <w:top w:w="95" w:type="dxa"/>
              <w:start w:w="120" w:type="dxa"/>
              <w:bottom w:w="85" w:type="dxa"/>
              <w:end w:w="120" w:type="dxa"/>
            </w:tcMar>
          </w:tcPr>
          <w:p>
            <w:pPr>
              <w:spacing w:after="40"/>
              <w:pBdr>
                <w:bottom w:val="single" w:sz="8" w:space="4" w:color="C69A3B"/>
              </w:pBdr>
            </w:pPr>
            <w:r>
              <w:rPr>
                <w:rFonts w:ascii="Aptos" w:hAnsi="Aptos"/>
                <w:b/>
                <w:color w:val="C69A3B"/>
                <w:sz w:val="18"/>
              </w:rPr>
              <w:t xml:space="preserve">03  </w:t>
            </w:r>
            <w:r>
              <w:rPr>
                <w:rFonts w:ascii="Aptos" w:hAnsi="Aptos"/>
                <w:b/>
                <w:color w:val="17324D"/>
                <w:sz w:val="21"/>
              </w:rPr>
              <w:t>USING CREDIT &amp; MAKING INVESTMENTS</w:t>
            </w:r>
          </w:p>
          <w:p>
            <w:pPr>
              <w:spacing w:before="20" w:after="40"/>
            </w:pPr>
            <w:r>
              <w:rPr>
                <w:rFonts w:ascii="Aptos" w:hAnsi="Aptos"/>
                <w:b/>
                <w:color w:val="1F6D73"/>
                <w:sz w:val="15"/>
              </w:rPr>
              <w:t>FLC COVERAGE</w:t>
            </w:r>
          </w:p>
          <w:p>
            <w:pPr>
              <w:spacing w:after="4" w:line="240" w:lineRule="auto"/>
              <w:ind w:left="187" w:hanging="144"/>
            </w:pPr>
            <w:r>
              <w:rPr>
                <w:rFonts w:ascii="Aptos" w:hAnsi="Aptos"/>
                <w:color w:val="1F6D73"/>
                <w:sz w:val="17"/>
              </w:rPr>
              <w:t xml:space="preserve">• </w:t>
            </w:r>
            <w:r>
              <w:rPr>
                <w:rFonts w:ascii="Aptos" w:hAnsi="Aptos"/>
                <w:color w:val="1F2933"/>
                <w:sz w:val="17"/>
              </w:rPr>
              <w:t>Credit scores, borrowing, loans, interest, and debt</w:t>
            </w:r>
          </w:p>
          <w:p>
            <w:pPr>
              <w:spacing w:after="4" w:line="240" w:lineRule="auto"/>
              <w:ind w:left="187" w:hanging="144"/>
            </w:pPr>
            <w:r>
              <w:rPr>
                <w:rFonts w:ascii="Aptos" w:hAnsi="Aptos"/>
                <w:color w:val="1F6D73"/>
                <w:sz w:val="17"/>
              </w:rPr>
              <w:t xml:space="preserve">• </w:t>
            </w:r>
            <w:r>
              <w:rPr>
                <w:rFonts w:ascii="Aptos" w:hAnsi="Aptos"/>
                <w:color w:val="1F2933"/>
                <w:sz w:val="17"/>
              </w:rPr>
              <w:t>Investing fundamentals and diversification</w:t>
            </w:r>
          </w:p>
          <w:p>
            <w:pPr>
              <w:spacing w:after="4" w:line="240" w:lineRule="auto"/>
              <w:ind w:left="187" w:hanging="144"/>
            </w:pPr>
            <w:r>
              <w:rPr>
                <w:rFonts w:ascii="Aptos" w:hAnsi="Aptos"/>
                <w:color w:val="1F6D73"/>
                <w:sz w:val="17"/>
              </w:rPr>
              <w:t xml:space="preserve">• </w:t>
            </w:r>
            <w:r>
              <w:rPr>
                <w:rFonts w:ascii="Aptos" w:hAnsi="Aptos"/>
                <w:color w:val="1F2933"/>
                <w:sz w:val="17"/>
              </w:rPr>
              <w:t>Long-term investing and retirement planning</w:t>
            </w:r>
          </w:p>
          <w:p>
            <w:pPr>
              <w:spacing w:before="20" w:after="40"/>
            </w:pPr>
            <w:r>
              <w:rPr>
                <w:rFonts w:ascii="Aptos" w:hAnsi="Aptos"/>
                <w:b/>
                <w:color w:val="17324D"/>
                <w:sz w:val="15"/>
              </w:rPr>
              <w:t>APPLIED LEARNING</w:t>
            </w:r>
          </w:p>
          <w:p>
            <w:pPr>
              <w:spacing w:after="0" w:line="240" w:lineRule="auto"/>
            </w:pPr>
            <w:r>
              <w:rPr>
                <w:rFonts w:ascii="Aptos" w:hAnsi="Aptos"/>
                <w:i/>
                <w:color w:val="6E7781"/>
                <w:sz w:val="16"/>
              </w:rPr>
              <w:t>Credit case studies • investment simulations • market and risk discussions</w:t>
            </w:r>
          </w:p>
        </w:tc>
        <w:tc>
          <w:tcPr>
            <w:tcW w:type="dxa" w:w="7229"/>
            <w:vAlign w:val="top"/>
            <w:shd w:fill="F5F6F7"/>
            <w:tcBorders>
              <w:top w:val="single" w:sz="7" w:color="C9D2D9"/>
              <w:left w:val="single" w:sz="7" w:color="C9D2D9"/>
              <w:bottom w:val="single" w:sz="7" w:color="C9D2D9"/>
              <w:right w:val="single" w:sz="7" w:color="C9D2D9"/>
            </w:tcBorders>
            <w:tcMar>
              <w:top w:w="95" w:type="dxa"/>
              <w:start w:w="120" w:type="dxa"/>
              <w:bottom w:w="85" w:type="dxa"/>
              <w:end w:w="120" w:type="dxa"/>
            </w:tcMar>
          </w:tcPr>
          <w:p>
            <w:pPr>
              <w:spacing w:after="40"/>
              <w:pBdr>
                <w:bottom w:val="single" w:sz="8" w:space="4" w:color="C69A3B"/>
              </w:pBdr>
            </w:pPr>
            <w:r>
              <w:rPr>
                <w:rFonts w:ascii="Aptos" w:hAnsi="Aptos"/>
                <w:b/>
                <w:color w:val="C69A3B"/>
                <w:sz w:val="18"/>
              </w:rPr>
              <w:t xml:space="preserve">04  </w:t>
            </w:r>
            <w:r>
              <w:rPr>
                <w:rFonts w:ascii="Aptos" w:hAnsi="Aptos"/>
                <w:b/>
                <w:color w:val="17324D"/>
                <w:sz w:val="21"/>
              </w:rPr>
              <w:t>PROTECTING &amp; INSURING ASSETS</w:t>
            </w:r>
          </w:p>
          <w:p>
            <w:pPr>
              <w:spacing w:before="20" w:after="40"/>
            </w:pPr>
            <w:r>
              <w:rPr>
                <w:rFonts w:ascii="Aptos" w:hAnsi="Aptos"/>
                <w:b/>
                <w:color w:val="1F6D73"/>
                <w:sz w:val="15"/>
              </w:rPr>
              <w:t>FLC COVERAGE</w:t>
            </w:r>
          </w:p>
          <w:p>
            <w:pPr>
              <w:spacing w:after="4" w:line="240" w:lineRule="auto"/>
              <w:ind w:left="187" w:hanging="144"/>
            </w:pPr>
            <w:r>
              <w:rPr>
                <w:rFonts w:ascii="Aptos" w:hAnsi="Aptos"/>
                <w:color w:val="1F6D73"/>
                <w:sz w:val="17"/>
              </w:rPr>
              <w:t xml:space="preserve">• </w:t>
            </w:r>
            <w:r>
              <w:rPr>
                <w:rFonts w:ascii="Aptos" w:hAnsi="Aptos"/>
                <w:color w:val="1F2933"/>
                <w:sz w:val="17"/>
              </w:rPr>
              <w:t>Insurance fundamentals and risk protection</w:t>
            </w:r>
          </w:p>
          <w:p>
            <w:pPr>
              <w:spacing w:after="4" w:line="240" w:lineRule="auto"/>
              <w:ind w:left="187" w:hanging="144"/>
            </w:pPr>
            <w:r>
              <w:rPr>
                <w:rFonts w:ascii="Aptos" w:hAnsi="Aptos"/>
                <w:color w:val="1F6D73"/>
                <w:sz w:val="17"/>
              </w:rPr>
              <w:t xml:space="preserve">• </w:t>
            </w:r>
            <w:r>
              <w:rPr>
                <w:rFonts w:ascii="Aptos" w:hAnsi="Aptos"/>
                <w:color w:val="1F2933"/>
                <w:sz w:val="17"/>
              </w:rPr>
              <w:t>Fraud, scams, identity theft, and cybersecurity awareness</w:t>
            </w:r>
          </w:p>
          <w:p>
            <w:pPr>
              <w:spacing w:after="4" w:line="240" w:lineRule="auto"/>
              <w:ind w:left="187" w:hanging="144"/>
            </w:pPr>
            <w:r>
              <w:rPr>
                <w:rFonts w:ascii="Aptos" w:hAnsi="Aptos"/>
                <w:color w:val="1F6D73"/>
                <w:sz w:val="17"/>
              </w:rPr>
              <w:t xml:space="preserve">• </w:t>
            </w:r>
            <w:r>
              <w:rPr>
                <w:rFonts w:ascii="Aptos" w:hAnsi="Aptos"/>
                <w:color w:val="1F2933"/>
                <w:sz w:val="17"/>
              </w:rPr>
              <w:t>Consumer rights and financial safety</w:t>
            </w:r>
          </w:p>
          <w:p>
            <w:pPr>
              <w:spacing w:before="20" w:after="40"/>
            </w:pPr>
            <w:r>
              <w:rPr>
                <w:rFonts w:ascii="Aptos" w:hAnsi="Aptos"/>
                <w:b/>
                <w:color w:val="17324D"/>
                <w:sz w:val="15"/>
              </w:rPr>
              <w:t>APPLIED LEARNING</w:t>
            </w:r>
          </w:p>
          <w:p>
            <w:pPr>
              <w:spacing w:after="0" w:line="240" w:lineRule="auto"/>
            </w:pPr>
            <w:r>
              <w:rPr>
                <w:rFonts w:ascii="Aptos" w:hAnsi="Aptos"/>
                <w:i/>
                <w:color w:val="6E7781"/>
                <w:sz w:val="16"/>
              </w:rPr>
              <w:t>Fraud/scam scenarios • consumer-protection discussions • guest expert sessions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2909"/>
        <w:gridCol w:w="2909"/>
        <w:gridCol w:w="2909"/>
        <w:gridCol w:w="2909"/>
      </w:tblGrid>
      <w:tr>
        <w:tc>
          <w:tcPr>
            <w:tcW w:type="dxa" w:w="2892"/>
            <w:shd w:fill="17324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HOW FLC</w:t>
              <w:br/>
              <w:t>BRINGS THE</w:t>
              <w:br/>
              <w:t>STANDARDS</w:t>
              <w:br/>
              <w:t>TO LIFE</w:t>
            </w:r>
          </w:p>
        </w:tc>
        <w:tc>
          <w:tcPr>
            <w:tcW w:type="dxa" w:w="2892"/>
            <w:shd w:fill="FFFFFF"/>
            <w:tcBorders>
              <w:top w:val="single" w:sz="6" w:color="C9D2D9"/>
              <w:left w:val="single" w:sz="6" w:color="C9D2D9"/>
              <w:bottom w:val="single" w:sz="6" w:color="C9D2D9"/>
              <w:right w:val="single" w:sz="6" w:color="C9D2D9"/>
            </w:tcBorders>
            <w:tcMar>
              <w:top w:w="75" w:type="dxa"/>
              <w:start w:w="90" w:type="dxa"/>
              <w:bottom w:w="65" w:type="dxa"/>
              <w:end w:w="90" w:type="dxa"/>
            </w:tcMar>
          </w:tcPr>
          <w:p>
            <w:pPr>
              <w:spacing w:after="40"/>
            </w:pPr>
            <w:r>
              <w:rPr>
                <w:b/>
                <w:color w:val="1F6D73"/>
                <w:sz w:val="17"/>
              </w:rPr>
              <w:t>LEARN + DISCUSS</w:t>
            </w:r>
          </w:p>
          <w:p>
            <w:pPr>
              <w:spacing w:after="0" w:line="240" w:lineRule="auto"/>
            </w:pPr>
            <w:r>
              <w:rPr>
                <w:color w:val="1F2933"/>
                <w:sz w:val="15"/>
              </w:rPr>
              <w:t>Student-friendly instruction, examples, and guided discussion</w:t>
            </w:r>
          </w:p>
        </w:tc>
        <w:tc>
          <w:tcPr>
            <w:tcW w:type="dxa" w:w="2892"/>
            <w:shd w:fill="FFFFFF"/>
            <w:tcBorders>
              <w:top w:val="single" w:sz="6" w:color="C9D2D9"/>
              <w:left w:val="single" w:sz="6" w:color="C9D2D9"/>
              <w:bottom w:val="single" w:sz="6" w:color="C9D2D9"/>
              <w:right w:val="single" w:sz="6" w:color="C9D2D9"/>
            </w:tcBorders>
            <w:tcMar>
              <w:top w:w="75" w:type="dxa"/>
              <w:start w:w="90" w:type="dxa"/>
              <w:bottom w:w="65" w:type="dxa"/>
              <w:end w:w="90" w:type="dxa"/>
            </w:tcMar>
          </w:tcPr>
          <w:p>
            <w:pPr>
              <w:spacing w:after="40"/>
            </w:pPr>
            <w:r>
              <w:rPr>
                <w:b/>
                <w:color w:val="1F6D73"/>
                <w:sz w:val="17"/>
              </w:rPr>
              <w:t>APPLY</w:t>
            </w:r>
          </w:p>
          <w:p>
            <w:pPr>
              <w:spacing w:after="0" w:line="240" w:lineRule="auto"/>
            </w:pPr>
            <w:r>
              <w:rPr>
                <w:color w:val="1F2933"/>
                <w:sz w:val="15"/>
              </w:rPr>
              <w:t>Mini cases, simulations, budgeting exercises, and decision-making practice</w:t>
            </w:r>
          </w:p>
        </w:tc>
        <w:tc>
          <w:tcPr>
            <w:tcW w:type="dxa" w:w="2892"/>
            <w:shd w:fill="FFFFFF"/>
            <w:tcBorders>
              <w:top w:val="single" w:sz="6" w:color="C9D2D9"/>
              <w:left w:val="single" w:sz="6" w:color="C9D2D9"/>
              <w:bottom w:val="single" w:sz="6" w:color="C9D2D9"/>
              <w:right w:val="single" w:sz="6" w:color="C9D2D9"/>
            </w:tcBorders>
            <w:tcMar>
              <w:top w:w="75" w:type="dxa"/>
              <w:start w:w="90" w:type="dxa"/>
              <w:bottom w:w="65" w:type="dxa"/>
              <w:end w:w="90" w:type="dxa"/>
            </w:tcMar>
          </w:tcPr>
          <w:p>
            <w:pPr>
              <w:spacing w:after="40"/>
            </w:pPr>
            <w:r>
              <w:rPr>
                <w:b/>
                <w:color w:val="1F6D73"/>
                <w:sz w:val="17"/>
              </w:rPr>
              <w:t>CONNECT</w:t>
            </w:r>
          </w:p>
          <w:p>
            <w:pPr>
              <w:spacing w:after="0" w:line="240" w:lineRule="auto"/>
            </w:pPr>
            <w:r>
              <w:rPr>
                <w:color w:val="1F2933"/>
                <w:sz w:val="15"/>
              </w:rPr>
              <w:t>Guest speakers from finance, business, higher education, and public service</w:t>
            </w:r>
          </w:p>
        </w:tc>
        <w:tc>
          <w:tcPr>
            <w:tcW w:type="dxa" w:w="2892"/>
            <w:shd w:fill="FFFFFF"/>
            <w:tcBorders>
              <w:top w:val="single" w:sz="6" w:color="C9D2D9"/>
              <w:left w:val="single" w:sz="6" w:color="C9D2D9"/>
              <w:bottom w:val="single" w:sz="6" w:color="C9D2D9"/>
              <w:right w:val="single" w:sz="6" w:color="C9D2D9"/>
            </w:tcBorders>
            <w:tcMar>
              <w:top w:w="75" w:type="dxa"/>
              <w:start w:w="90" w:type="dxa"/>
              <w:bottom w:w="65" w:type="dxa"/>
              <w:end w:w="90" w:type="dxa"/>
            </w:tcMar>
          </w:tcPr>
          <w:p>
            <w:pPr>
              <w:spacing w:after="40"/>
            </w:pPr>
            <w:r>
              <w:rPr>
                <w:b/>
                <w:color w:val="1F6D73"/>
                <w:sz w:val="17"/>
              </w:rPr>
              <w:t>EXTEND</w:t>
            </w:r>
          </w:p>
          <w:p>
            <w:pPr>
              <w:spacing w:after="0" w:line="240" w:lineRule="auto"/>
            </w:pPr>
            <w:r>
              <w:rPr>
                <w:color w:val="1F2933"/>
                <w:sz w:val="15"/>
              </w:rPr>
              <w:t>College, career, and long-term financial planning connections</w:t>
            </w:r>
          </w:p>
        </w:tc>
      </w:tr>
    </w:tbl>
    <w:p>
      <w:pPr>
        <w:spacing w:before="80" w:after="0"/>
        <w:jc w:val="left"/>
      </w:pPr>
      <w:r>
        <w:rPr>
          <w:b/>
          <w:color w:val="17324D"/>
          <w:sz w:val="14"/>
        </w:rPr>
        <w:t xml:space="preserve">Program note: </w:t>
      </w:r>
      <w:r>
        <w:rPr>
          <w:color w:val="6E7781"/>
          <w:sz w:val="14"/>
        </w:rPr>
        <w:t>FLC is a student-led extracurricular program. The Massachusetts standards are used as an educational organizing framework; this document does not imply DESE endorsement or formal curriculum approval.</w:t>
      </w:r>
    </w:p>
    <w:p>
      <w:pPr>
        <w:spacing w:before="20" w:after="0"/>
      </w:pPr>
      <w:r>
        <w:rPr>
          <w:b/>
          <w:color w:val="17324D"/>
          <w:sz w:val="14"/>
        </w:rPr>
        <w:t xml:space="preserve">Reference: </w:t>
      </w:r>
      <w:r>
        <w:rPr>
          <w:color w:val="6E7781"/>
          <w:sz w:val="14"/>
        </w:rPr>
        <w:t>Massachusetts Department of Elementary and Secondary Education — Personal Financial Literacy in the Massachusetts Curriculum Frameworks.</w:t>
      </w:r>
    </w:p>
    <w:sectPr w:rsidR="00FC693F" w:rsidRPr="0006063C" w:rsidSect="00034616">
      <w:footerReference w:type="default" r:id="rId10"/>
      <w:pgSz w:w="15840" w:h="12240" w:orient="landscape"/>
      <w:pgMar w:top="547" w:right="691" w:bottom="490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/>
        <w:color w:val="1F6D73"/>
        <w:sz w:val="14"/>
      </w:rPr>
      <w:t>FINANCIAL LITERACY CLUB  •  KEEFE REGIONAL TECHNICAL SCHOOL  •  2026–2027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F293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Literacy Club - Curriculum Alignment</dc:title>
  <dc:subject>Alignment with Massachusetts Personal Financial Literacy Standards</dc:subject>
  <dc:creator>Financial Literacy Club, Keefe Regional Technical School</dc:creator>
  <cp:keywords>Financial Literacy, Massachusetts, DESE, Keefe Regional Technical School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